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686889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lang w:eastAsia="ar-SA"/>
        </w:rPr>
        <w:t>INFORMACJA NR 9</w:t>
      </w:r>
      <w:r w:rsidR="00F328FE">
        <w:rPr>
          <w:rFonts w:ascii="Calibri" w:eastAsia="Times New Roman" w:hAnsi="Calibri" w:cs="Arial"/>
          <w:b/>
          <w:sz w:val="28"/>
          <w:szCs w:val="28"/>
          <w:lang w:eastAsia="ar-SA"/>
        </w:rPr>
        <w:t>/2023</w:t>
      </w:r>
      <w:r w:rsidR="00D45BA7"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8B6C6C">
        <w:rPr>
          <w:rFonts w:ascii="Calibri" w:eastAsia="Times New Roman" w:hAnsi="Calibri" w:cs="Arial"/>
          <w:sz w:val="28"/>
          <w:szCs w:val="28"/>
          <w:lang w:eastAsia="ar-SA"/>
        </w:rPr>
        <w:t>Saskiej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 xml:space="preserve"> 61</w:t>
      </w:r>
    </w:p>
    <w:p w:rsidR="00F328FE" w:rsidRPr="00D45BA7" w:rsidRDefault="00F328FE" w:rsidP="00F328F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</w:t>
      </w:r>
      <w:r>
        <w:rPr>
          <w:rFonts w:ascii="Calibri" w:eastAsia="Times New Roman" w:hAnsi="Calibri" w:cs="Arial"/>
          <w:sz w:val="28"/>
          <w:szCs w:val="28"/>
          <w:lang w:eastAsia="ar-SA"/>
        </w:rPr>
        <w:t>ług księgi wieczystej: KW nr WA6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M/</w:t>
      </w:r>
      <w:r>
        <w:rPr>
          <w:rFonts w:ascii="Calibri" w:eastAsia="Times New Roman" w:hAnsi="Calibri" w:cs="Arial"/>
          <w:sz w:val="28"/>
          <w:szCs w:val="28"/>
          <w:lang w:eastAsia="ar-SA"/>
        </w:rPr>
        <w:t>00158191/6.</w:t>
      </w:r>
    </w:p>
    <w:p w:rsidR="00F328FE" w:rsidRPr="00D45BA7" w:rsidRDefault="00F328FE" w:rsidP="00F328F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>ncyjne: działka ewidencyjna nr 9, obręb 3-01-13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najmu:</w:t>
      </w:r>
    </w:p>
    <w:p w:rsidR="003C2287" w:rsidRDefault="003C228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15,</w:t>
      </w:r>
      <w:r w:rsidR="00686889">
        <w:rPr>
          <w:rFonts w:ascii="Calibri" w:eastAsia="Times New Roman" w:hAnsi="Calibri" w:cs="Arial"/>
          <w:sz w:val="28"/>
          <w:szCs w:val="28"/>
          <w:lang w:eastAsia="ar-SA"/>
        </w:rPr>
        <w:t>74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D45BA7" w:rsidRPr="003C2287">
        <w:rPr>
          <w:rFonts w:ascii="Calibri" w:eastAsia="Times New Roman" w:hAnsi="Calibri" w:cs="Arial"/>
          <w:sz w:val="28"/>
          <w:szCs w:val="28"/>
          <w:lang w:eastAsia="ar-SA"/>
        </w:rPr>
        <w:t>m</w:t>
      </w:r>
      <w:r w:rsidR="00D45BA7" w:rsidRPr="003C228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E12477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</w:p>
    <w:p w:rsidR="00D45BA7" w:rsidRPr="003C228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 w:rsidRPr="003C228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najmu:</w:t>
      </w:r>
    </w:p>
    <w:p w:rsidR="003C2287" w:rsidRDefault="00F328FE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>Gabinet lekarski</w:t>
      </w:r>
      <w:r w:rsidR="005F5DFB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8B6C6C" w:rsidRPr="003C2287">
        <w:rPr>
          <w:rFonts w:ascii="Calibri" w:eastAsia="Times New Roman" w:hAnsi="Calibri" w:cs="Arial"/>
          <w:sz w:val="28"/>
          <w:szCs w:val="28"/>
          <w:lang w:eastAsia="ar-SA"/>
        </w:rPr>
        <w:t>znajdujący</w:t>
      </w:r>
      <w:r w:rsidR="00D45BA7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się na I</w:t>
      </w:r>
      <w:bookmarkStart w:id="0" w:name="_GoBack"/>
      <w:bookmarkEnd w:id="0"/>
      <w:r w:rsidR="00D45BA7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>p., wyposażony</w:t>
      </w:r>
      <w:r w:rsidR="00D45BA7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w instalację elektryczną, </w:t>
      </w:r>
      <w:r w:rsidR="00721464" w:rsidRPr="003C2287">
        <w:rPr>
          <w:rFonts w:ascii="Calibri" w:eastAsia="Times New Roman" w:hAnsi="Calibri" w:cs="Arial"/>
          <w:sz w:val="28"/>
          <w:szCs w:val="28"/>
          <w:lang w:eastAsia="ar-SA"/>
        </w:rPr>
        <w:br/>
      </w:r>
      <w:r w:rsidR="00D45BA7" w:rsidRPr="003C2287">
        <w:rPr>
          <w:rFonts w:ascii="Calibri" w:eastAsia="Times New Roman" w:hAnsi="Calibri" w:cs="Arial"/>
          <w:sz w:val="28"/>
          <w:szCs w:val="28"/>
          <w:lang w:eastAsia="ar-SA"/>
        </w:rPr>
        <w:t>c. o.</w:t>
      </w:r>
      <w:r w:rsidR="001E704E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proofErr w:type="spellStart"/>
      <w:r w:rsidR="001E704E" w:rsidRPr="003C2287">
        <w:rPr>
          <w:rFonts w:ascii="Calibri" w:eastAsia="Times New Roman" w:hAnsi="Calibri" w:cs="Arial"/>
          <w:sz w:val="28"/>
          <w:szCs w:val="28"/>
          <w:lang w:eastAsia="ar-SA"/>
        </w:rPr>
        <w:t>wod</w:t>
      </w:r>
      <w:proofErr w:type="spellEnd"/>
      <w:r w:rsidR="001E704E" w:rsidRPr="003C2287">
        <w:rPr>
          <w:rFonts w:ascii="Calibri" w:eastAsia="Times New Roman" w:hAnsi="Calibri" w:cs="Arial"/>
          <w:sz w:val="28"/>
          <w:szCs w:val="28"/>
          <w:lang w:eastAsia="ar-SA"/>
        </w:rPr>
        <w:t>-kan.</w:t>
      </w:r>
      <w:r w:rsidR="00E12477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3C228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najmu: </w:t>
      </w:r>
      <w:r w:rsidR="00780AD5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zostać zawarta na okres do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>2 lat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br/>
        <w:t>90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zryczałtowana 25 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Wysokość opłat z tytułu świadczeń dodatkowych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 xml:space="preserve"> za 1m² powierzchni miesięcznie: 14,9</w:t>
      </w:r>
      <w:r>
        <w:rPr>
          <w:rFonts w:ascii="Calibri" w:eastAsia="Times New Roman" w:hAnsi="Calibri" w:cs="Arial"/>
          <w:sz w:val="28"/>
          <w:szCs w:val="28"/>
          <w:lang w:eastAsia="ar-SA"/>
        </w:rPr>
        <w:t>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 ceną za 1</w:t>
      </w:r>
      <w:r w:rsidR="003A4853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m² netto wynajmowanej powierzchni wraz z zaświadczeniem o prowadzonej działalności gospodarczej lub wydrukiem z KRS, należy składać od poniedziałku do piątku w godzinach 8.30.-15.00. w budynku Zespołu - parter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2</w:t>
      </w:r>
      <w:r w:rsidR="003A4853">
        <w:rPr>
          <w:rFonts w:ascii="Calibri" w:eastAsia="Times New Roman" w:hAnsi="Calibri" w:cs="Arial"/>
          <w:sz w:val="28"/>
          <w:szCs w:val="28"/>
          <w:lang w:eastAsia="ar-SA"/>
        </w:rPr>
        <w:t>4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.03.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r.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zawierające propozycje czynszu netto niższe od czynszu minimalnego nie będą rozpatrywane. 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721464">
        <w:rPr>
          <w:rFonts w:ascii="Calibri" w:eastAsia="Times New Roman" w:hAnsi="Calibri" w:cs="Arial"/>
          <w:sz w:val="28"/>
          <w:szCs w:val="28"/>
          <w:lang w:eastAsia="ar-SA"/>
        </w:rPr>
        <w:t>09.03.2023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. 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2</w:t>
      </w:r>
      <w:r w:rsidR="003C2287">
        <w:rPr>
          <w:rFonts w:ascii="Calibri" w:eastAsia="Times New Roman" w:hAnsi="Calibri" w:cs="Arial"/>
          <w:sz w:val="28"/>
          <w:szCs w:val="28"/>
          <w:lang w:eastAsia="ar-SA"/>
        </w:rPr>
        <w:t>4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.03.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397733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17B1E"/>
    <w:rsid w:val="00044214"/>
    <w:rsid w:val="00057F32"/>
    <w:rsid w:val="0006526E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1E704E"/>
    <w:rsid w:val="001F2368"/>
    <w:rsid w:val="002220F4"/>
    <w:rsid w:val="00227AD8"/>
    <w:rsid w:val="00245C54"/>
    <w:rsid w:val="0028508D"/>
    <w:rsid w:val="002866D2"/>
    <w:rsid w:val="00291EC6"/>
    <w:rsid w:val="002F45D1"/>
    <w:rsid w:val="00334453"/>
    <w:rsid w:val="00344B5E"/>
    <w:rsid w:val="00356DD1"/>
    <w:rsid w:val="00363D11"/>
    <w:rsid w:val="003A4853"/>
    <w:rsid w:val="003B5519"/>
    <w:rsid w:val="003C2287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C33BF"/>
    <w:rsid w:val="004D4836"/>
    <w:rsid w:val="005143DA"/>
    <w:rsid w:val="00522C46"/>
    <w:rsid w:val="005267D4"/>
    <w:rsid w:val="00591CD5"/>
    <w:rsid w:val="005A29F4"/>
    <w:rsid w:val="005C3816"/>
    <w:rsid w:val="005C47EF"/>
    <w:rsid w:val="005D3791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86889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21464"/>
    <w:rsid w:val="007406AF"/>
    <w:rsid w:val="007410F0"/>
    <w:rsid w:val="00763B37"/>
    <w:rsid w:val="007719DE"/>
    <w:rsid w:val="0077226A"/>
    <w:rsid w:val="007774CC"/>
    <w:rsid w:val="007804F7"/>
    <w:rsid w:val="00780AD5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B6C6C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C2036"/>
    <w:rsid w:val="009E777C"/>
    <w:rsid w:val="009F0B46"/>
    <w:rsid w:val="00A049FD"/>
    <w:rsid w:val="00A06908"/>
    <w:rsid w:val="00A220A5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B5E9D"/>
    <w:rsid w:val="00BF1EF0"/>
    <w:rsid w:val="00BF205D"/>
    <w:rsid w:val="00C0208F"/>
    <w:rsid w:val="00C13F81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E12477"/>
    <w:rsid w:val="00E1287F"/>
    <w:rsid w:val="00E13B63"/>
    <w:rsid w:val="00E57BE1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6D8E"/>
    <w:rsid w:val="00F328F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AD70-1E9E-401F-95C0-AA191727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4</cp:revision>
  <cp:lastPrinted>2023-03-08T08:36:00Z</cp:lastPrinted>
  <dcterms:created xsi:type="dcterms:W3CDTF">2023-03-07T12:48:00Z</dcterms:created>
  <dcterms:modified xsi:type="dcterms:W3CDTF">2023-03-08T08:36:00Z</dcterms:modified>
</cp:coreProperties>
</file>